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2.0.0 -->
  <w:body>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GaramondLitITC-Bold" w:eastAsia="GaramondLitITC-Bold" w:hAnsi="GaramondLitITC-Bold" w:cs="GaramondLitITC-Bold"/>
          <w:b/>
          <w:bCs/>
          <w:i w:val="0"/>
          <w:iCs w:val="0"/>
          <w:caps w:val="0"/>
          <w:smallCaps w:val="0"/>
          <w:strike w:val="0"/>
          <w:dstrike w:val="0"/>
          <w:outline w:val="0"/>
          <w:shadow w:val="0"/>
          <w:emboss w:val="0"/>
          <w:imprint w:val="0"/>
          <w:noProof w:val="0"/>
          <w:vanish w:val="0"/>
          <w:color w:val="auto"/>
          <w:spacing w:val="0"/>
          <w:w w:val="100"/>
          <w:kern w:val="0"/>
          <w:position w:val="0"/>
          <w:sz w:val="44"/>
          <w:szCs w:val="44"/>
          <w:highlight w:val="none"/>
          <w:u w:val="none" w:color="auto"/>
          <w:effect w:val="none"/>
          <w:bdr w:val="nil"/>
          <w:shd w:val="clear" w:color="auto" w:fill="auto"/>
          <w:vertAlign w:val="baseline"/>
          <w:rtl w:val="0"/>
          <w:cs w:val="0"/>
          <w:lang w:val="de-DE" w:eastAsia="en-US" w:bidi="ar-SA"/>
        </w:rPr>
        <w:t>Ihre Finanzierungsoptionen</w:t>
      </w:r>
    </w:p>
    <w:p w:rsidR="000C7A16" w:rsidP="00F15A28">
      <w:pPr>
        <w:autoSpaceDE w:val="0"/>
        <w:autoSpaceDN w:val="0"/>
        <w:adjustRightInd w:val="0"/>
        <w:spacing w:after="0" w:line="240" w:lineRule="auto"/>
        <w:rPr>
          <w:rFonts w:ascii="Berkeley-Book" w:hAnsi="Berkeley-Book" w:cs="Berkeley-Book"/>
        </w:rPr>
      </w:pPr>
    </w:p>
    <w:p w:rsidR="000C7A1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Wir freuen uns, dass Sie Saint Agnes Medical Center für Ihre Bedü</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rfnisse im Bereich Gesundheitsleistungen gewählt haben.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Wir freuen uns ebenso darauf, Ihnen eine mitfühlende medizinische Versorgung höchster Qualität bieten zu können.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p>
    <w:p w:rsidR="000C7A16" w:rsidP="00F15A28">
      <w:pPr>
        <w:autoSpaceDE w:val="0"/>
        <w:autoSpaceDN w:val="0"/>
        <w:adjustRightInd w:val="0"/>
        <w:spacing w:after="0" w:line="240" w:lineRule="auto"/>
        <w:rPr>
          <w:rFonts w:ascii="Berkeley-Book" w:hAnsi="Berkeley-Book" w:cs="Berkeley-Book"/>
        </w:rPr>
      </w:pPr>
    </w:p>
    <w:p w:rsidR="000C7A1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Vor der Leistungserbringung</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verlangt Saint Agnes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eine Vorauszahlung.</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Diese kann telefonisch von einem unserer "Benefit Advocates" von Saint Agnes oder bei der Registrierung bei Ankunft im Krankenhaus eingezogen werden.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p>
    <w:p w:rsidR="000C7A1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Uns ist bewusst, dass unsere Richtlinie, eine Vorauszahlung zu verlangen, für Sie irritierend sein kann, wenn Sie früher bereits unsere Einrichtung besucht haben und bisher vor der Leistungserbringung nichts zahlen mussten.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Berücksichtigen Sie, dass die im Vorfeld gezahlten Beträge bereits zu den von Ihnen selbst getragenen Kosten gehören.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Die vorliegende Broschüre enthält Antworten zu einigen der häufig gestellten Fragen.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Wir hoffen, sie ist hilfreich.</w:t>
      </w:r>
    </w:p>
    <w:p w:rsidR="000C7A1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Bitte beachten Sie, dass eine dringende bzw. Notfallversorgung des Patienten unabhängig von dessen Zahlungsmöglichkeiten zu Beginn der Leistungsbringung erfolgt.</w:t>
      </w:r>
    </w:p>
    <w:p w:rsidR="000C7A1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Kein Patient wird vom Saint Agnes Medical Center aufgrund von Zahlungsunfähigkeit diskriminiert.</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Patienten, die finanzielle Unterstützung benötigen oder sich in einer vorübergehenden finanziellen Notlage befinden, bietet Saint Agnes flexible Finanzierungsregelungen oder zusätzliche Unterstützung an.</w:t>
      </w:r>
    </w:p>
    <w:p w:rsidR="000C7A16" w:rsidP="00F15A28">
      <w:pPr>
        <w:autoSpaceDE w:val="0"/>
        <w:autoSpaceDN w:val="0"/>
        <w:adjustRightInd w:val="0"/>
        <w:spacing w:after="0" w:line="240" w:lineRule="auto"/>
        <w:rPr>
          <w:rFonts w:ascii="Berkeley-Book" w:hAnsi="Berkeley-Book" w:cs="Berkeley-Book"/>
        </w:rPr>
      </w:pPr>
    </w:p>
    <w:p w:rsidR="00F15A28" w:rsidRPr="000C7A1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Besuchen Sie uns online unter </w:t>
      </w:r>
      <w:r>
        <w:rPr>
          <w:rStyle w:val="DefaultParagraphFont"/>
          <w:rFonts w:ascii="Berkeley-BoldItalic" w:eastAsia="Berkeley-BoldItalic" w:hAnsi="Berkeley-BoldItalic" w:cs="Berkeley-BoldItalic"/>
          <w:b/>
          <w:bCs/>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www.samc.com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oder rufen Sie unser "Benefit Advocacy"-Büro an unter</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(559) 450-SAMC</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(7262).</w:t>
      </w:r>
    </w:p>
    <w:p w:rsidR="000C7A1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Frutiger-Cn" w:hAnsi="Frutiger-Cn" w:cs="Frutiger-Cn"/>
          <w:sz w:val="32"/>
          <w:szCs w:val="32"/>
        </w:rPr>
      </w:pPr>
      <w:r>
        <w:rPr>
          <w:rStyle w:val="DefaultParagraphFont"/>
          <w:rFonts w:ascii="Frutiger-Cn" w:eastAsia="Frutiger-Cn" w:hAnsi="Frutiger-Cn" w:cs="Frutiger-Cn"/>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de-DE" w:eastAsia="en-US" w:bidi="ar-SA"/>
        </w:rPr>
        <w:t>Was ist der Unterschied zwischen Selbstbeteiligung, Mitversicherung, Selbstbehalt und einem selbst zu tragenden Höchstbetrag?</w:t>
      </w:r>
    </w:p>
    <w:p w:rsidR="000C7A1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A. Selbst zu tragende Kosten:</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Der fällige Betrag hängt von den im Versicherungsplan einer Person festgelegten Bedingungen ab.</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Unten finden Sie eine kurze Erläuterung dazu, was eine selbstzutragende Haftung beinhalten kann.</w:t>
      </w:r>
    </w:p>
    <w:p w:rsidR="000C7A1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B. Selbstbeteiligung:</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Ein Festbetrag, der für abgedeckte medizinische Leistungen zum Zeitpunkt des Leistungsempfangs verlangt wird und in Ihrem Versicherungsplan festgelegt ist.</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Beispiel:</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Eine Zahlung in Höhe von 50 USD, die bei jedem Aufenthalt in der Notaufnahme des Krankenhauses fällig wird.</w:t>
      </w:r>
    </w:p>
    <w:p w:rsidR="000C7A1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C. Mitversicherung:</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Diese bezieht sich auf die Aufteilung abgedeckter medizinischer Kosten zwischen Patienten und dem betreffenden Versicherungsunternehmen.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Das Versicherungsunternehmen übernimmt einen gewissen Prozentsatz der abgedeckten Kosten und der Patient zahlt den Restbetrag.</w:t>
      </w:r>
    </w:p>
    <w:p w:rsidR="000C7A1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 Selbstbehalt:</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Der Teil der abgedeckten medizinischen Kosten des Patienten, den der Patient jedes Kalenderjahr zahlen muss, bevor das Versicherungsunternehmen mit der Auszahlung von Leistungen beginnt.</w:t>
      </w:r>
    </w:p>
    <w:p w:rsidR="000C7A1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E. Selbst zu tragender Höchstbetrag:</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Ein vorgegebener, begrenzter Geldbetrag, den eine Person direkt bezahlt, bevor ein Versicherungsunternehmen oder ein selbstversicherter Arbeitgeber 100 Prozent der Kosten der Gesundheitsleistungen für diese Person bezahlt.</w:t>
      </w:r>
    </w:p>
    <w:p w:rsidR="000C7A16" w:rsidP="00F15A28">
      <w:pPr>
        <w:autoSpaceDE w:val="0"/>
        <w:autoSpaceDN w:val="0"/>
        <w:adjustRightInd w:val="0"/>
        <w:spacing w:after="0" w:line="240" w:lineRule="auto"/>
        <w:rPr>
          <w:rFonts w:ascii="Frutiger-Cn" w:hAnsi="Frutiger-Cn" w:cs="Frutiger-Cn"/>
          <w:sz w:val="32"/>
          <w:szCs w:val="32"/>
        </w:rPr>
      </w:pPr>
    </w:p>
    <w:p w:rsidR="00F15A28" w:rsidP="005501EE">
      <w:pPr>
        <w:keepNext/>
        <w:autoSpaceDE w:val="0"/>
        <w:autoSpaceDN w:val="0"/>
        <w:bidi w:val="0"/>
        <w:adjustRightInd w:val="0"/>
        <w:spacing w:after="0" w:line="240" w:lineRule="auto"/>
        <w:rPr>
          <w:rFonts w:ascii="Frutiger-Cn" w:hAnsi="Frutiger-Cn" w:cs="Frutiger-Cn"/>
          <w:sz w:val="32"/>
          <w:szCs w:val="32"/>
        </w:rPr>
      </w:pPr>
      <w:r>
        <w:rPr>
          <w:rStyle w:val="DefaultParagraphFont"/>
          <w:rFonts w:ascii="Frutiger-Cn" w:eastAsia="Frutiger-Cn" w:hAnsi="Frutiger-Cn" w:cs="Frutiger-Cn"/>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de-DE" w:eastAsia="en-US" w:bidi="ar-SA"/>
        </w:rPr>
        <w:t>Häufig gestellte Fragen</w:t>
      </w:r>
    </w:p>
    <w:p w:rsidR="000C7A16" w:rsidP="005501EE">
      <w:pPr>
        <w:keepNext/>
        <w:autoSpaceDE w:val="0"/>
        <w:autoSpaceDN w:val="0"/>
        <w:adjustRightInd w:val="0"/>
        <w:spacing w:after="0" w:line="240" w:lineRule="auto"/>
        <w:rPr>
          <w:rFonts w:ascii="Berkeley-Bold" w:hAnsi="Berkeley-Bold" w:cs="Berkeley-Bold"/>
          <w:b/>
          <w:bCs/>
          <w:sz w:val="26"/>
          <w:szCs w:val="26"/>
        </w:rPr>
      </w:pPr>
    </w:p>
    <w:p w:rsidR="00F15A28" w:rsidP="005501EE">
      <w:pPr>
        <w:keepNext/>
        <w:autoSpaceDE w:val="0"/>
        <w:autoSpaceDN w:val="0"/>
        <w:bidi w:val="0"/>
        <w:adjustRightInd w:val="0"/>
        <w:spacing w:after="0" w:line="240" w:lineRule="auto"/>
        <w:rPr>
          <w:rFonts w:ascii="Berkeley-Bold" w:hAnsi="Berkeley-Bold" w:cs="Berkeley-Bold"/>
          <w:b/>
          <w:bCs/>
          <w:sz w:val="26"/>
          <w:szCs w:val="26"/>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6"/>
          <w:szCs w:val="26"/>
          <w:highlight w:val="none"/>
          <w:u w:val="none" w:color="auto"/>
          <w:effect w:val="none"/>
          <w:bdr w:val="nil"/>
          <w:shd w:val="clear" w:color="auto" w:fill="auto"/>
          <w:vertAlign w:val="baseline"/>
          <w:rtl w:val="0"/>
          <w:cs w:val="0"/>
          <w:lang w:val="de-DE" w:eastAsia="en-US" w:bidi="ar-SA"/>
        </w:rPr>
        <w:t>Warum ist eine Vorauszahlung für meine selbst zu tragenden Kosten notwendig?</w:t>
      </w:r>
    </w:p>
    <w:p w:rsidR="000C7A16" w:rsidP="005501EE">
      <w:pPr>
        <w:keepNext/>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Saint Agnes Medical Center begann mit der Forderung von Vorauszahlungen, um unseren Patienten entgegenzukommen und somit einige der finanziellen Sorgen, die mit einem Krankenhausbesuch verbunden sind, zu verringern.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Diese Vorauszahlung wird auf Ihre Gesamtkosten angerechnet.</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Sämtliche ausstehende Beträge werden Ihnen in Rechnung gestellt, nachdem die Versicherung gezahlt hat.</w:t>
      </w:r>
    </w:p>
    <w:p w:rsidR="000C7A16" w:rsidP="00F15A28">
      <w:pPr>
        <w:autoSpaceDE w:val="0"/>
        <w:autoSpaceDN w:val="0"/>
        <w:adjustRightInd w:val="0"/>
        <w:spacing w:after="0" w:line="240" w:lineRule="auto"/>
        <w:rPr>
          <w:rFonts w:ascii="Berkeley-Bold" w:hAnsi="Berkeley-Bold" w:cs="Berkeley-Bold"/>
          <w:b/>
          <w:bCs/>
          <w:sz w:val="26"/>
          <w:szCs w:val="26"/>
        </w:rPr>
      </w:pPr>
    </w:p>
    <w:p w:rsidR="00F15A28" w:rsidP="00F15A28">
      <w:pPr>
        <w:autoSpaceDE w:val="0"/>
        <w:autoSpaceDN w:val="0"/>
        <w:bidi w:val="0"/>
        <w:adjustRightInd w:val="0"/>
        <w:spacing w:after="0" w:line="240" w:lineRule="auto"/>
        <w:rPr>
          <w:rFonts w:ascii="Berkeley-Bold" w:hAnsi="Berkeley-Bold" w:cs="Berkeley-Bold"/>
          <w:b/>
          <w:bCs/>
          <w:sz w:val="26"/>
          <w:szCs w:val="26"/>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6"/>
          <w:szCs w:val="26"/>
          <w:highlight w:val="none"/>
          <w:u w:val="none" w:color="auto"/>
          <w:effect w:val="none"/>
          <w:bdr w:val="nil"/>
          <w:shd w:val="clear" w:color="auto" w:fill="auto"/>
          <w:vertAlign w:val="baseline"/>
          <w:rtl w:val="0"/>
          <w:cs w:val="0"/>
          <w:lang w:val="de-DE" w:eastAsia="en-US" w:bidi="ar-SA"/>
        </w:rPr>
        <w:t>Welche Zahlungsmöglichkeiten gibt es?</w:t>
      </w:r>
    </w:p>
    <w:p w:rsidR="000C7A1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Das Krankenhaus akzeptiert Schecks, Kreditkarten, Debitkarten und Barzahlung.</w:t>
      </w:r>
    </w:p>
    <w:p w:rsidR="000C7A16" w:rsidP="00F15A28">
      <w:pPr>
        <w:autoSpaceDE w:val="0"/>
        <w:autoSpaceDN w:val="0"/>
        <w:adjustRightInd w:val="0"/>
        <w:spacing w:after="0" w:line="240" w:lineRule="auto"/>
        <w:rPr>
          <w:rFonts w:ascii="Berkeley-Bold" w:hAnsi="Berkeley-Bold" w:cs="Berkeley-Bold"/>
          <w:b/>
          <w:bCs/>
          <w:sz w:val="26"/>
          <w:szCs w:val="26"/>
        </w:rPr>
      </w:pPr>
    </w:p>
    <w:p w:rsidR="00F15A28" w:rsidP="00F15A28">
      <w:pPr>
        <w:autoSpaceDE w:val="0"/>
        <w:autoSpaceDN w:val="0"/>
        <w:bidi w:val="0"/>
        <w:adjustRightInd w:val="0"/>
        <w:spacing w:after="0" w:line="240" w:lineRule="auto"/>
        <w:rPr>
          <w:rFonts w:ascii="Berkeley-Bold" w:hAnsi="Berkeley-Bold" w:cs="Berkeley-Bold"/>
          <w:b/>
          <w:bCs/>
          <w:sz w:val="26"/>
          <w:szCs w:val="26"/>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6"/>
          <w:szCs w:val="26"/>
          <w:highlight w:val="none"/>
          <w:u w:val="none" w:color="auto"/>
          <w:effect w:val="none"/>
          <w:bdr w:val="nil"/>
          <w:shd w:val="clear" w:color="auto" w:fill="auto"/>
          <w:vertAlign w:val="baseline"/>
          <w:rtl w:val="0"/>
          <w:cs w:val="0"/>
          <w:lang w:val="de-DE" w:eastAsia="en-US" w:bidi="ar-SA"/>
        </w:rPr>
        <w:t>Was passiert, wenn ich nicht versichert bin oder meine selbst zu tragenden Kosten nicht be</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6"/>
          <w:szCs w:val="26"/>
          <w:highlight w:val="none"/>
          <w:u w:val="none" w:color="auto"/>
          <w:effect w:val="none"/>
          <w:bdr w:val="nil"/>
          <w:shd w:val="clear" w:color="auto" w:fill="auto"/>
          <w:vertAlign w:val="baseline"/>
          <w:rtl w:val="0"/>
          <w:cs w:val="0"/>
          <w:lang w:val="de-DE" w:eastAsia="en-US" w:bidi="ar-SA"/>
        </w:rPr>
        <w:t>zahlen kann.</w:t>
      </w:r>
    </w:p>
    <w:p w:rsidR="000C7A1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Saint Agnes Medical Center bietet flexible Finanzierungsregelungen an, um Ihre individuellen Bedürfnisse zu berücksichtigen.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Für diejenigen, die nicht für die Kosten für eine notwendige medizinische Behandlung aufkommen können, stehen u. a. die folgenden Optionen zur Verfügung:</w:t>
      </w:r>
    </w:p>
    <w:p w:rsidR="000C7A16" w:rsidP="00F15A28">
      <w:pPr>
        <w:autoSpaceDE w:val="0"/>
        <w:autoSpaceDN w:val="0"/>
        <w:adjustRightInd w:val="0"/>
        <w:spacing w:after="0" w:line="240" w:lineRule="auto"/>
        <w:rPr>
          <w:rFonts w:ascii="ZapfDingbatsITC" w:hAnsi="ZapfDingbatsITC" w:cs="ZapfDingbatsITC"/>
          <w:sz w:val="16"/>
          <w:szCs w:val="16"/>
        </w:rPr>
      </w:pPr>
    </w:p>
    <w:p w:rsidR="00F15A28" w:rsidRPr="000C7A16" w:rsidP="00F15A28">
      <w:pPr>
        <w:pStyle w:val="ListParagraph"/>
        <w:numPr>
          <w:ilvl w:val="0"/>
          <w:numId w:val="1"/>
        </w:num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Zahlungspläne oder Patientendarlehen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Patienten können für Leistungen in monatlichen Raten über einen bestimmten Zeitraum zahlen.</w:t>
      </w:r>
    </w:p>
    <w:p w:rsidR="000C7A16" w:rsidP="00F15A28">
      <w:pPr>
        <w:autoSpaceDE w:val="0"/>
        <w:autoSpaceDN w:val="0"/>
        <w:adjustRightInd w:val="0"/>
        <w:spacing w:after="0" w:line="240" w:lineRule="auto"/>
        <w:rPr>
          <w:rFonts w:ascii="ZapfDingbatsITC" w:hAnsi="ZapfDingbatsITC" w:cs="ZapfDingbatsITC"/>
          <w:sz w:val="16"/>
          <w:szCs w:val="16"/>
        </w:rPr>
      </w:pPr>
    </w:p>
    <w:p w:rsidR="00F15A28" w:rsidRPr="000C7A16" w:rsidP="00F15A28">
      <w:pPr>
        <w:pStyle w:val="ListParagraph"/>
        <w:numPr>
          <w:ilvl w:val="0"/>
          <w:numId w:val="1"/>
        </w:num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Staatliche Hilfsprogramme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Unser Team kann mit Ihnen in Erfahrung bringen, ob Sie Ansprüche aus staatlichen Hilfsprogrammen haben.</w:t>
      </w:r>
    </w:p>
    <w:p w:rsidR="000C7A16" w:rsidP="00F15A28">
      <w:pPr>
        <w:autoSpaceDE w:val="0"/>
        <w:autoSpaceDN w:val="0"/>
        <w:adjustRightInd w:val="0"/>
        <w:spacing w:after="0" w:line="240" w:lineRule="auto"/>
        <w:rPr>
          <w:rFonts w:ascii="ZapfDingbatsITC" w:hAnsi="ZapfDingbatsITC" w:cs="ZapfDingbatsITC"/>
          <w:sz w:val="16"/>
          <w:szCs w:val="16"/>
        </w:rPr>
      </w:pPr>
    </w:p>
    <w:p w:rsidR="00761D88" w:rsidRPr="000C7A16" w:rsidP="00F15A28">
      <w:pPr>
        <w:pStyle w:val="ListParagraph"/>
        <w:numPr>
          <w:ilvl w:val="0"/>
          <w:numId w:val="1"/>
        </w:numPr>
        <w:autoSpaceDE w:val="0"/>
        <w:autoSpaceDN w:val="0"/>
        <w:bidi w:val="0"/>
        <w:adjustRightInd w:val="0"/>
        <w:spacing w:after="0" w:line="240" w:lineRule="auto"/>
        <w:rPr>
          <w:rFonts w:ascii="Berkeley-Book" w:hAnsi="Berkeley-Book" w:cs="Berkeley-Book"/>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Finanzielle Unterstützungsprogramme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Es gibt Programme für Patienten, die keine Ansprüche auf staatliche/bundesstaatliche Hilfe haben, aber trotzdem nicht über die benötigten finanziellen Mittel verfügen.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Nach Abschluss einer finanziellen Bewertung könnten Sie jedoch Ansprüche auf die Finanzierung von Leistungen haben, die Saint Agnes für Sie erbringt.</w:t>
      </w:r>
    </w:p>
    <w:p w:rsidR="000C7A16" w:rsidP="00F15A28">
      <w:pPr>
        <w:autoSpaceDE w:val="0"/>
        <w:autoSpaceDN w:val="0"/>
        <w:adjustRightInd w:val="0"/>
        <w:spacing w:after="0" w:line="240" w:lineRule="auto"/>
        <w:rPr>
          <w:rFonts w:ascii="Berkeley-Bold" w:hAnsi="Berkeley-Bold" w:cs="Berkeley-Bold"/>
          <w:b/>
          <w:bCs/>
          <w:sz w:val="26"/>
          <w:szCs w:val="26"/>
        </w:rPr>
      </w:pPr>
    </w:p>
    <w:p w:rsidR="00F15A28" w:rsidP="00F15A28">
      <w:pPr>
        <w:autoSpaceDE w:val="0"/>
        <w:autoSpaceDN w:val="0"/>
        <w:bidi w:val="0"/>
        <w:adjustRightInd w:val="0"/>
        <w:spacing w:after="0" w:line="240" w:lineRule="auto"/>
        <w:rPr>
          <w:rFonts w:ascii="Berkeley-Bold" w:hAnsi="Berkeley-Bold" w:cs="Berkeley-Bold"/>
          <w:b/>
          <w:bCs/>
          <w:sz w:val="26"/>
          <w:szCs w:val="26"/>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6"/>
          <w:szCs w:val="26"/>
          <w:highlight w:val="none"/>
          <w:u w:val="none" w:color="auto"/>
          <w:effect w:val="none"/>
          <w:bdr w:val="nil"/>
          <w:shd w:val="clear" w:color="auto" w:fill="auto"/>
          <w:vertAlign w:val="baseline"/>
          <w:rtl w:val="0"/>
          <w:cs w:val="0"/>
          <w:lang w:val="de-DE" w:eastAsia="en-US" w:bidi="ar-SA"/>
        </w:rPr>
        <w:t>Warum werden mehrere Rechnungen für einen einzigen Aufenthalt versendet?</w:t>
      </w:r>
    </w:p>
    <w:p w:rsidR="000C7A16" w:rsidP="00F15A28">
      <w:pPr>
        <w:autoSpaceDE w:val="0"/>
        <w:autoSpaceDN w:val="0"/>
        <w:adjustRightInd w:val="0"/>
        <w:spacing w:after="0" w:line="240" w:lineRule="auto"/>
        <w:rPr>
          <w:rFonts w:ascii="Berkeley-Book" w:hAnsi="Berkeley-Book" w:cs="Berkeley-Book"/>
        </w:rPr>
      </w:pPr>
    </w:p>
    <w:p w:rsidR="000C7A1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Saint Agnes ist ausschließlich verantwortlich für die Rechnungsstellung und den Zahlungseinzug für Krankenhausleistungen.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Da die Ärzte jedoch keine Angestellten des Krankenhauses sind, müssen sie Ihnen für ihre Leistungen eine separate Rechnung stellen.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Auch die für die langlebige medizinische Ausstattung und den Rettungsdienst verantwortlichen Unternehmen stellen eine vom Krankenhaus gesonderte Rechnung.</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p>
    <w:p w:rsidR="000C7A1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Je nach den erbrachten Leistungen ist es möglich, dass Sie eine separate Rechnung von einer oder mehreren der unten aufgeführten Gruppen erhalten.</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Bei Fragen wenden Sie sich an die zuständige Rechnungsstelle.</w:t>
      </w:r>
    </w:p>
    <w:p w:rsidR="000C7A1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Eine vollständige Liste mit externen Unternehmen, von denen Sie möglicherweise eine Rechnung erhalten, finden Sie unter </w:t>
      </w:r>
      <w:r>
        <w:rPr>
          <w:rStyle w:val="DefaultParagraphFont"/>
          <w:rFonts w:ascii="Berkeley-BoldItalic" w:eastAsia="Berkeley-BoldItalic" w:hAnsi="Berkeley-BoldItalic" w:cs="Berkeley-BoldItalic"/>
          <w:b/>
          <w:bCs/>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www.samc.com</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w:t>
      </w:r>
    </w:p>
    <w:p w:rsidR="00D62DA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Rettungsdienst</w:t>
      </w:r>
    </w:p>
    <w:p w:rsidR="00F15A28" w:rsidRPr="00D62DA6" w:rsidP="00F15A28">
      <w:pPr>
        <w:autoSpaceDE w:val="0"/>
        <w:autoSpaceDN w:val="0"/>
        <w:bidi w:val="0"/>
        <w:adjustRightInd w:val="0"/>
        <w:spacing w:after="0" w:line="240" w:lineRule="auto"/>
        <w:rPr>
          <w:rFonts w:ascii="Berkeley-Italic" w:hAnsi="Berkeley-Italic" w:cs="Berkeley-Italic"/>
          <w:i/>
          <w:iCs/>
        </w:rPr>
      </w:pPr>
      <w:r>
        <w:rPr>
          <w:rStyle w:val="DefaultParagraphFont"/>
          <w:rFonts w:ascii="Berkeley-Italic" w:eastAsia="Berkeley-Italic" w:hAnsi="Berkeley-Italic" w:cs="Berkeley-Italic"/>
          <w:b w:val="0"/>
          <w:bCs w:val="0"/>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Eine vollständige Liste der Rettungsgesellschaften finden Sie unter</w:t>
      </w:r>
      <w:r>
        <w:rPr>
          <w:rStyle w:val="DefaultParagraphFont"/>
          <w:rFonts w:ascii="Berkeley-BoldItalic" w:eastAsia="Berkeley-BoldItalic" w:hAnsi="Berkeley-BoldItalic" w:cs="Berkeley-BoldItalic"/>
          <w:b/>
          <w:bCs/>
          <w:i/>
          <w:iCs/>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samc.com</w:t>
      </w:r>
    </w:p>
    <w:p w:rsidR="00D62DA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Anästhesiologie</w:t>
      </w:r>
    </w:p>
    <w:p w:rsidR="00F15A28" w:rsidRPr="00D62DA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Anesthesia Consultants of Fresno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(559) 436-0871</w:t>
      </w:r>
    </w:p>
    <w:p w:rsidR="00D62DA6" w:rsidP="00F15A28">
      <w:pPr>
        <w:autoSpaceDE w:val="0"/>
        <w:autoSpaceDN w:val="0"/>
        <w:adjustRightInd w:val="0"/>
        <w:spacing w:after="0" w:line="240" w:lineRule="auto"/>
        <w:rPr>
          <w:rFonts w:ascii="Berkeley-Bold" w:hAnsi="Berkeley-Bold" w:cs="Berkeley-Bold"/>
          <w:b/>
          <w:bCs/>
        </w:rPr>
      </w:pPr>
    </w:p>
    <w:p w:rsidR="00D62DA6"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Langlebige medizinische Ausstattung</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DJO Global, Inc.</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888-225-4398</w:t>
      </w:r>
    </w:p>
    <w:p w:rsidR="00D62DA6" w:rsidP="00F15A28">
      <w:pPr>
        <w:autoSpaceDE w:val="0"/>
        <w:autoSpaceDN w:val="0"/>
        <w:adjustRightInd w:val="0"/>
        <w:spacing w:after="0" w:line="240" w:lineRule="auto"/>
        <w:rPr>
          <w:rFonts w:ascii="Berkeley-Bold" w:hAnsi="Berkeley-Bold" w:cs="Berkeley-Bold"/>
          <w:b/>
          <w:bCs/>
        </w:rPr>
      </w:pPr>
    </w:p>
    <w:p w:rsidR="00D62DA6"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Notaufnahme</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CEP – California Emergency Physicians</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of America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(800) 498-7157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OB Hospitalist Group (OBHG)</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(864) 908-3627</w:t>
      </w:r>
    </w:p>
    <w:p w:rsidR="00D62DA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Klinikärzte</w:t>
      </w:r>
    </w:p>
    <w:p w:rsidR="00F15A28" w:rsidRPr="00D62DA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CEP – California Emergency Physicians of America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(800) 498-7157</w:t>
      </w:r>
    </w:p>
    <w:p w:rsidR="00D62DA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Labor/Pathologie</w:t>
      </w:r>
    </w:p>
    <w:p w:rsidR="00F15A28" w:rsidRPr="00D62DA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Saint Agnes Pathology Medical Group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(877) 411-9005 </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oder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(800) 775-4238</w:t>
      </w:r>
    </w:p>
    <w:p w:rsidR="00D62DA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Strahlentherapie</w:t>
      </w:r>
    </w:p>
    <w:p w:rsidR="00F15A28" w:rsidRPr="00D62DA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cCare – California Cancer Associates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(559) 438-1245</w:t>
      </w:r>
    </w:p>
    <w:p w:rsidR="00D62DA6" w:rsidP="00F15A28">
      <w:pPr>
        <w:autoSpaceDE w:val="0"/>
        <w:autoSpaceDN w:val="0"/>
        <w:adjustRightInd w:val="0"/>
        <w:spacing w:after="0" w:line="240" w:lineRule="auto"/>
        <w:rPr>
          <w:rFonts w:ascii="Berkeley-Bold" w:hAnsi="Berkeley-Bold" w:cs="Berkeley-Bold"/>
          <w:b/>
          <w:bCs/>
        </w:rPr>
      </w:pPr>
    </w:p>
    <w:p w:rsidR="00F15A28" w:rsidP="00F15A28">
      <w:pPr>
        <w:autoSpaceDE w:val="0"/>
        <w:autoSpaceDN w:val="0"/>
        <w:bidi w:val="0"/>
        <w:adjustRightInd w:val="0"/>
        <w:spacing w:after="0" w:line="240" w:lineRule="auto"/>
        <w:rPr>
          <w:rFonts w:ascii="Berkeley-Bold" w:hAnsi="Berkeley-Bold" w:cs="Berkeley-Bold"/>
          <w:b/>
          <w:bCs/>
        </w:rPr>
      </w:pP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Radiologie (Röntgen, CT-Untersuchung, MRT, Nuklearmedizin)</w:t>
      </w:r>
    </w:p>
    <w:p w:rsidR="00F15A28" w:rsidRPr="00D62DA6"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Wishon Radiological Medical Group, Inc.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(559) 485-8330</w:t>
      </w:r>
    </w:p>
    <w:p w:rsidR="00F15A28" w:rsidP="00F15A28">
      <w:pPr>
        <w:autoSpaceDE w:val="0"/>
        <w:autoSpaceDN w:val="0"/>
        <w:adjustRightInd w:val="0"/>
        <w:spacing w:after="0" w:line="240" w:lineRule="auto"/>
        <w:rPr>
          <w:rFonts w:ascii="Frutiger-Cn" w:hAnsi="Frutiger-Cn" w:cs="Frutiger-Cn"/>
          <w:sz w:val="32"/>
          <w:szCs w:val="32"/>
        </w:rPr>
      </w:pPr>
    </w:p>
    <w:p w:rsidR="00F15A28" w:rsidP="00F15A28">
      <w:pPr>
        <w:autoSpaceDE w:val="0"/>
        <w:autoSpaceDN w:val="0"/>
        <w:bidi w:val="0"/>
        <w:adjustRightInd w:val="0"/>
        <w:spacing w:after="0" w:line="240" w:lineRule="auto"/>
        <w:rPr>
          <w:rFonts w:ascii="Frutiger-Cn" w:hAnsi="Frutiger-Cn" w:cs="Frutiger-Cn"/>
          <w:sz w:val="32"/>
          <w:szCs w:val="32"/>
        </w:rPr>
      </w:pPr>
      <w:r>
        <w:rPr>
          <w:rStyle w:val="DefaultParagraphFont"/>
          <w:rFonts w:ascii="Frutiger-Cn" w:eastAsia="Frutiger-Cn" w:hAnsi="Frutiger-Cn" w:cs="Frutiger-Cn"/>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de-DE" w:eastAsia="en-US" w:bidi="ar-SA"/>
        </w:rPr>
        <w:t>Danke, dass Sie Saint Agnes die Möglichkeit geben, Ihre Bedürfnisse im Bereich Gesundheitsleistungen zu erfüllen.</w:t>
      </w:r>
    </w:p>
    <w:p w:rsidR="00D62DA6" w:rsidP="00F15A28">
      <w:pPr>
        <w:autoSpaceDE w:val="0"/>
        <w:autoSpaceDN w:val="0"/>
        <w:adjustRightInd w:val="0"/>
        <w:spacing w:after="0" w:line="240" w:lineRule="auto"/>
        <w:rPr>
          <w:rFonts w:ascii="Berkeley-Book" w:hAnsi="Berkeley-Book" w:cs="Berkeley-Book"/>
        </w:rPr>
      </w:pPr>
    </w:p>
    <w:p w:rsidR="00F15A28" w:rsidP="00F15A28">
      <w:pPr>
        <w:autoSpaceDE w:val="0"/>
        <w:autoSpaceDN w:val="0"/>
        <w:bidi w:val="0"/>
        <w:adjustRightInd w:val="0"/>
        <w:spacing w:after="0" w:line="240" w:lineRule="auto"/>
        <w:rPr>
          <w:rFonts w:ascii="Berkeley-Book" w:hAnsi="Berkeley-Book" w:cs="Berkeley-Book"/>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Bei weiteren Fragen wenden Sie sich an unser "Benefit Advocat"-Büro unter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(559) 450-SAMC</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 xml:space="preserve"> </w:t>
      </w:r>
      <w:r>
        <w:rPr>
          <w:rStyle w:val="DefaultParagraphFont"/>
          <w:rFonts w:ascii="Berkeley-Bold" w:eastAsia="Berkeley-Bold" w:hAnsi="Berkeley-Bold" w:cs="Berkeley-Bold"/>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(7262)</w:t>
      </w: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vertAlign w:val="baseline"/>
          <w:rtl w:val="0"/>
          <w:cs w:val="0"/>
          <w:lang w:val="de-DE" w:eastAsia="en-US" w:bidi="ar-SA"/>
        </w:rPr>
        <w:t>.</w:t>
      </w:r>
    </w:p>
    <w:p w:rsidR="00D62DA6" w:rsidP="00F15A28">
      <w:pPr>
        <w:autoSpaceDE w:val="0"/>
        <w:autoSpaceDN w:val="0"/>
        <w:adjustRightInd w:val="0"/>
        <w:spacing w:after="0" w:line="240" w:lineRule="auto"/>
        <w:rPr>
          <w:rFonts w:ascii="Berkeley-Book" w:hAnsi="Berkeley-Book" w:cs="Berkeley-Book"/>
          <w:sz w:val="16"/>
          <w:szCs w:val="16"/>
        </w:rPr>
      </w:pPr>
    </w:p>
    <w:p w:rsidR="00F15A28" w:rsidRPr="00D62DA6" w:rsidP="00D62DA6">
      <w:pPr>
        <w:autoSpaceDE w:val="0"/>
        <w:autoSpaceDN w:val="0"/>
        <w:bidi w:val="0"/>
        <w:adjustRightInd w:val="0"/>
        <w:spacing w:after="0" w:line="240" w:lineRule="auto"/>
        <w:rPr>
          <w:rFonts w:ascii="Berkeley-Book" w:hAnsi="Berkeley-Book" w:cs="Berkeley-Book"/>
          <w:sz w:val="16"/>
          <w:szCs w:val="16"/>
        </w:rPr>
      </w:pPr>
      <w:r>
        <w:rPr>
          <w:rStyle w:val="DefaultParagraphFont"/>
          <w:rFonts w:ascii="Berkeley-Book" w:eastAsia="Berkeley-Book" w:hAnsi="Berkeley-Book" w:cs="Berkeley-Book"/>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bdr w:val="nil"/>
          <w:shd w:val="clear" w:color="auto" w:fill="auto"/>
          <w:vertAlign w:val="baseline"/>
          <w:rtl w:val="0"/>
          <w:cs w:val="0"/>
          <w:lang w:val="de-DE" w:eastAsia="en-US" w:bidi="ar-SA"/>
        </w:rPr>
        <w:t>Saint Agnes Medical Center hält sich an die gültigen Bundesgesetze für Bürgerrechte und lehnt eine Diskriminierung aufgrund von ethnischer Zugehörigkeit, Hautfarbe, nationaler Herkunft, Alter, Behinderung oder Geschlecht ab.</w:t>
      </w: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GaramondLitITC-Bold">
    <w:panose1 w:val="00000000000000000000"/>
    <w:charset w:val="00"/>
    <w:family w:val="auto"/>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Berkeley-Bold">
    <w:panose1 w:val="00000000000000000000"/>
    <w:charset w:val="00"/>
    <w:family w:val="roman"/>
    <w:notTrueType/>
    <w:pitch w:val="default"/>
    <w:sig w:usb0="00000003" w:usb1="00000000" w:usb2="00000000" w:usb3="00000000" w:csb0="00000001" w:csb1="00000000"/>
  </w:font>
  <w:font w:name="Berkeley-BoldItalic">
    <w:panose1 w:val="00000000000000000000"/>
    <w:charset w:val="00"/>
    <w:family w:val="roman"/>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Berkeley-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185B19"/>
    <w:multiLevelType w:val="hybridMultilevel"/>
    <w:tmpl w:val="B7F8426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Sanchez</dc:creator>
  <cp:lastModifiedBy>Joni</cp:lastModifiedBy>
  <cp:revision>4</cp:revision>
  <dcterms:created xsi:type="dcterms:W3CDTF">2017-02-10T03:16:00Z</dcterms:created>
  <dcterms:modified xsi:type="dcterms:W3CDTF">2017-02-10T04:50:00Z</dcterms:modified>
</cp:coreProperties>
</file>